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7890" w:type="dxa"/>
        <w:jc w:val="center"/>
        <w:tblCellSpacing w:w="0" w:type="dxa"/>
        <w:tblInd w:w="208" w:type="dxa"/>
        <w:shd w:val="clear" w:color="auto" w:fill="FFFFFF"/>
        <w:tblLayout w:type="fixed"/>
        <w:tblCellMar>
          <w:top w:w="0" w:type="dxa"/>
          <w:left w:w="0" w:type="dxa"/>
          <w:bottom w:w="0" w:type="dxa"/>
          <w:right w:w="0" w:type="dxa"/>
        </w:tblCellMar>
      </w:tblPr>
      <w:tblGrid>
        <w:gridCol w:w="7890"/>
      </w:tblGrid>
      <w:tr>
        <w:tblPrEx>
          <w:shd w:val="clear" w:color="auto" w:fill="FFFFFF"/>
          <w:tblLayout w:type="fixed"/>
          <w:tblCellMar>
            <w:top w:w="0" w:type="dxa"/>
            <w:left w:w="0" w:type="dxa"/>
            <w:bottom w:w="0" w:type="dxa"/>
            <w:right w:w="0" w:type="dxa"/>
          </w:tblCellMar>
        </w:tblPrEx>
        <w:trPr>
          <w:trHeight w:val="1501" w:hRule="atLeast"/>
          <w:tblCellSpacing w:w="0" w:type="dxa"/>
          <w:jc w:val="center"/>
        </w:trPr>
        <w:tc>
          <w:tcPr>
            <w:tcW w:w="7890" w:type="dxa"/>
            <w:shd w:val="clear" w:color="auto" w:fill="FFFFFF"/>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b/>
                <w:i w:val="0"/>
                <w:caps w:val="0"/>
                <w:color w:val="CC0000"/>
                <w:spacing w:val="0"/>
                <w:sz w:val="36"/>
                <w:szCs w:val="36"/>
              </w:rPr>
            </w:pPr>
            <w:bookmarkStart w:id="0" w:name="_GoBack"/>
            <w:r>
              <w:rPr>
                <w:rStyle w:val="3"/>
                <w:rFonts w:hint="eastAsia" w:ascii="微软雅黑" w:hAnsi="微软雅黑" w:eastAsia="微软雅黑" w:cs="微软雅黑"/>
                <w:i w:val="0"/>
                <w:caps w:val="0"/>
                <w:color w:val="CC0000"/>
                <w:spacing w:val="0"/>
                <w:kern w:val="0"/>
                <w:sz w:val="36"/>
                <w:szCs w:val="36"/>
                <w:lang w:val="en-US" w:eastAsia="zh-CN" w:bidi="ar"/>
              </w:rPr>
              <w:t>《通信网络安全防护管理办法》</w:t>
            </w:r>
            <w:bookmarkEnd w:id="0"/>
          </w:p>
        </w:tc>
      </w:tr>
      <w:tr>
        <w:tblPrEx>
          <w:shd w:val="clear" w:color="auto" w:fill="FFFFFF"/>
          <w:tblLayout w:type="fixed"/>
          <w:tblCellMar>
            <w:top w:w="0" w:type="dxa"/>
            <w:left w:w="0" w:type="dxa"/>
            <w:bottom w:w="0" w:type="dxa"/>
            <w:right w:w="0" w:type="dxa"/>
          </w:tblCellMar>
        </w:tblPrEx>
        <w:trPr>
          <w:trHeight w:val="30" w:hRule="atLeast"/>
          <w:tblCellSpacing w:w="0" w:type="dxa"/>
          <w:jc w:val="center"/>
        </w:trPr>
        <w:tc>
          <w:tcPr>
            <w:tcW w:w="7890" w:type="dxa"/>
            <w:shd w:val="clear" w:color="auto" w:fill="FFFFFF"/>
            <w:vAlign w:val="center"/>
          </w:tcPr>
          <w:tbl>
            <w:tblPr>
              <w:tblW w:w="7890" w:type="dxa"/>
              <w:tblCellSpacing w:w="0" w:type="dxa"/>
              <w:tblInd w:w="0" w:type="dxa"/>
              <w:shd w:val="clear"/>
              <w:tblLayout w:type="fixed"/>
              <w:tblCellMar>
                <w:top w:w="0" w:type="dxa"/>
                <w:left w:w="0" w:type="dxa"/>
                <w:bottom w:w="0" w:type="dxa"/>
                <w:right w:w="0" w:type="dxa"/>
              </w:tblCellMar>
            </w:tblPr>
            <w:tblGrid>
              <w:gridCol w:w="1800"/>
              <w:gridCol w:w="6090"/>
            </w:tblGrid>
            <w:tr>
              <w:tblPrEx>
                <w:shd w:val="clear"/>
                <w:tblLayout w:type="fixed"/>
                <w:tblCellMar>
                  <w:top w:w="0" w:type="dxa"/>
                  <w:left w:w="0" w:type="dxa"/>
                  <w:bottom w:w="0" w:type="dxa"/>
                  <w:right w:w="0" w:type="dxa"/>
                </w:tblCellMar>
              </w:tblPrEx>
              <w:trPr>
                <w:tblCellSpacing w:w="0" w:type="dxa"/>
              </w:trPr>
              <w:tc>
                <w:tcPr>
                  <w:tcW w:w="1800" w:type="dxa"/>
                  <w:tcBorders>
                    <w:bottom w:val="single" w:color="C51B1E" w:sz="12"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6090" w:type="dxa"/>
                  <w:tcBorders>
                    <w:bottom w:val="single" w:color="EEEEEE" w:sz="12"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rPr>
                <w:rFonts w:ascii="宋体" w:hAnsi="宋体" w:eastAsia="宋体" w:cs="宋体"/>
                <w:b w:val="0"/>
                <w:i w:val="0"/>
                <w:caps w:val="0"/>
                <w:color w:val="000000"/>
                <w:spacing w:val="0"/>
                <w:sz w:val="18"/>
                <w:szCs w:val="18"/>
              </w:rPr>
            </w:pPr>
          </w:p>
        </w:tc>
      </w:tr>
      <w:tr>
        <w:tblPrEx>
          <w:shd w:val="clear" w:color="auto" w:fill="FFFFFF"/>
          <w:tblLayout w:type="fixed"/>
          <w:tblCellMar>
            <w:top w:w="0" w:type="dxa"/>
            <w:left w:w="0" w:type="dxa"/>
            <w:bottom w:w="0" w:type="dxa"/>
            <w:right w:w="0" w:type="dxa"/>
          </w:tblCellMar>
        </w:tblPrEx>
        <w:trPr>
          <w:trHeight w:val="375" w:hRule="atLeast"/>
          <w:tblCellSpacing w:w="0" w:type="dxa"/>
          <w:jc w:val="center"/>
        </w:trPr>
        <w:tc>
          <w:tcPr>
            <w:tcW w:w="78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r>
      <w:tr>
        <w:tblPrEx>
          <w:shd w:val="clear" w:color="auto" w:fill="FFFFFF"/>
          <w:tblLayout w:type="fixed"/>
          <w:tblCellMar>
            <w:top w:w="0" w:type="dxa"/>
            <w:left w:w="0" w:type="dxa"/>
            <w:bottom w:w="0" w:type="dxa"/>
            <w:right w:w="0" w:type="dxa"/>
          </w:tblCellMar>
        </w:tblPrEx>
        <w:trPr>
          <w:trHeight w:val="30" w:hRule="atLeast"/>
          <w:tblCellSpacing w:w="0" w:type="dxa"/>
          <w:jc w:val="center"/>
        </w:trPr>
        <w:tc>
          <w:tcPr>
            <w:tcW w:w="7890" w:type="dxa"/>
            <w:shd w:val="clear" w:color="auto" w:fill="FFFFFF"/>
            <w:vAlign w:val="center"/>
          </w:tcPr>
          <w:tbl>
            <w:tblPr>
              <w:tblW w:w="7890" w:type="dxa"/>
              <w:tblCellSpacing w:w="0" w:type="dxa"/>
              <w:tblInd w:w="0" w:type="dxa"/>
              <w:shd w:val="clear"/>
              <w:tblLayout w:type="fixed"/>
              <w:tblCellMar>
                <w:top w:w="0" w:type="dxa"/>
                <w:left w:w="0" w:type="dxa"/>
                <w:bottom w:w="0" w:type="dxa"/>
                <w:right w:w="0" w:type="dxa"/>
              </w:tblCellMar>
            </w:tblPr>
            <w:tblGrid>
              <w:gridCol w:w="6090"/>
              <w:gridCol w:w="1800"/>
            </w:tblGrid>
            <w:tr>
              <w:tblPrEx>
                <w:tblLayout w:type="fixed"/>
                <w:tblCellMar>
                  <w:top w:w="0" w:type="dxa"/>
                  <w:left w:w="0" w:type="dxa"/>
                  <w:bottom w:w="0" w:type="dxa"/>
                  <w:right w:w="0" w:type="dxa"/>
                </w:tblCellMar>
              </w:tblPrEx>
              <w:trPr>
                <w:tblCellSpacing w:w="0" w:type="dxa"/>
              </w:trPr>
              <w:tc>
                <w:tcPr>
                  <w:tcW w:w="6090" w:type="dxa"/>
                  <w:tcBorders>
                    <w:bottom w:val="single" w:color="EEEEEE" w:sz="12"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800" w:type="dxa"/>
                  <w:tcBorders>
                    <w:bottom w:val="single" w:color="C51B1E" w:sz="12"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rPr>
                <w:rFonts w:hint="eastAsia" w:ascii="宋体" w:hAnsi="宋体" w:eastAsia="宋体" w:cs="宋体"/>
                <w:b w:val="0"/>
                <w:i w:val="0"/>
                <w:caps w:val="0"/>
                <w:color w:val="000000"/>
                <w:spacing w:val="0"/>
                <w:sz w:val="18"/>
                <w:szCs w:val="18"/>
              </w:rPr>
            </w:pPr>
          </w:p>
        </w:tc>
      </w:tr>
      <w:tr>
        <w:tblPrEx>
          <w:tblLayout w:type="fixed"/>
          <w:tblCellMar>
            <w:top w:w="0" w:type="dxa"/>
            <w:left w:w="0" w:type="dxa"/>
            <w:bottom w:w="0" w:type="dxa"/>
            <w:right w:w="0" w:type="dxa"/>
          </w:tblCellMar>
        </w:tblPrEx>
        <w:trPr>
          <w:tblCellSpacing w:w="0" w:type="dxa"/>
          <w:jc w:val="center"/>
        </w:trPr>
        <w:tc>
          <w:tcPr>
            <w:tcW w:w="7890" w:type="dxa"/>
            <w:shd w:val="clear" w:color="auto" w:fill="FFFFFF"/>
            <w:tcMar>
              <w:top w:w="150" w:type="dxa"/>
            </w:tcMar>
            <w:vAlign w:val="center"/>
          </w:tcPr>
          <w:p>
            <w:pPr>
              <w:keepNext w:val="0"/>
              <w:keepLines w:val="0"/>
              <w:widowControl/>
              <w:suppressLineNumbers w:val="0"/>
              <w:spacing w:before="0" w:beforeAutospacing="0" w:after="0" w:afterAutospacing="0" w:line="340" w:lineRule="atLeast"/>
              <w:ind w:left="0" w:right="0"/>
              <w:jc w:val="left"/>
            </w:pPr>
            <w:r>
              <w:rPr>
                <w:rFonts w:hint="eastAsia" w:ascii="宋体" w:hAnsi="宋体" w:eastAsia="宋体" w:cs="宋体"/>
                <w:b/>
                <w:i w:val="0"/>
                <w:caps w:val="0"/>
                <w:color w:val="FF0000"/>
                <w:spacing w:val="0"/>
                <w:kern w:val="0"/>
                <w:sz w:val="27"/>
                <w:szCs w:val="27"/>
                <w:lang w:val="en-US" w:eastAsia="zh-CN" w:bidi="ar"/>
              </w:rPr>
              <w:t>              中华人民共和国工业和信息化部令</w:t>
            </w:r>
            <w:r>
              <w:rPr>
                <w:rFonts w:hint="eastAsia" w:ascii="宋体" w:hAnsi="宋体" w:eastAsia="宋体" w:cs="宋体"/>
                <w:b/>
                <w:i w:val="0"/>
                <w:caps w:val="0"/>
                <w:color w:val="FF0000"/>
                <w:spacing w:val="0"/>
                <w:kern w:val="0"/>
                <w:sz w:val="27"/>
                <w:szCs w:val="27"/>
                <w:lang w:val="en-US" w:eastAsia="zh-CN" w:bidi="ar"/>
              </w:rPr>
              <w:br w:type="textWrapping"/>
            </w:r>
            <w:r>
              <w:rPr>
                <w:rFonts w:hint="eastAsia" w:ascii="宋体" w:hAnsi="宋体" w:eastAsia="宋体" w:cs="宋体"/>
                <w:b/>
                <w:i w:val="0"/>
                <w:caps w:val="0"/>
                <w:color w:val="FF0000"/>
                <w:spacing w:val="0"/>
                <w:kern w:val="0"/>
                <w:sz w:val="27"/>
                <w:szCs w:val="27"/>
                <w:lang w:val="en-US" w:eastAsia="zh-CN" w:bidi="ar"/>
              </w:rPr>
              <w:t>　　　　　　　　　　　　　　　第 11 号</w:t>
            </w:r>
            <w:r>
              <w:rPr>
                <w:rFonts w:hint="eastAsia" w:ascii="宋体" w:hAnsi="宋体" w:eastAsia="宋体" w:cs="宋体"/>
                <w:b/>
                <w:i w:val="0"/>
                <w:caps w:val="0"/>
                <w:color w:val="FF0000"/>
                <w:spacing w:val="0"/>
                <w:kern w:val="0"/>
                <w:sz w:val="27"/>
                <w:szCs w:val="27"/>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《通信网络安全防护管理办法》已经2009年12月29日中华人民共和国工业和信息化部第8次部务会议审议通过，现予公布，自2010年3月1日起施行。</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部长 李毅中</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二〇一〇年一月二十一日</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w:t>
            </w:r>
            <w:r>
              <w:rPr>
                <w:rFonts w:hint="eastAsia" w:ascii="宋体" w:hAnsi="宋体" w:eastAsia="宋体" w:cs="宋体"/>
                <w:b/>
                <w:i w:val="0"/>
                <w:caps w:val="0"/>
                <w:color w:val="000000"/>
                <w:spacing w:val="0"/>
                <w:kern w:val="0"/>
                <w:sz w:val="27"/>
                <w:szCs w:val="27"/>
                <w:lang w:val="en-US" w:eastAsia="zh-CN" w:bidi="ar"/>
              </w:rPr>
              <w:t>通信网络安全防护管理办法</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w:t>
            </w:r>
            <w:r>
              <w:rPr>
                <w:rFonts w:hint="eastAsia" w:ascii="宋体" w:hAnsi="宋体" w:eastAsia="宋体" w:cs="宋体"/>
                <w:b/>
                <w:i w:val="0"/>
                <w:caps w:val="0"/>
                <w:color w:val="000000"/>
                <w:spacing w:val="0"/>
                <w:kern w:val="0"/>
                <w:sz w:val="19"/>
                <w:szCs w:val="19"/>
                <w:lang w:val="en-US" w:eastAsia="zh-CN" w:bidi="ar"/>
              </w:rPr>
              <w:t>第一条</w:t>
            </w:r>
            <w:r>
              <w:rPr>
                <w:rFonts w:hint="eastAsia" w:ascii="宋体" w:hAnsi="宋体" w:eastAsia="宋体" w:cs="宋体"/>
                <w:b w:val="0"/>
                <w:i w:val="0"/>
                <w:caps w:val="0"/>
                <w:color w:val="000000"/>
                <w:spacing w:val="0"/>
                <w:kern w:val="0"/>
                <w:sz w:val="19"/>
                <w:szCs w:val="19"/>
                <w:lang w:val="en-US" w:eastAsia="zh-CN" w:bidi="ar"/>
              </w:rPr>
              <w:t> 为了加强对通信网络安全的管理，提高通信网络安全防护能力，保障通信网络安全畅通，根据《中华人民共和国电信条例》，制定本办法。</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w:t>
            </w:r>
            <w:r>
              <w:rPr>
                <w:rFonts w:hint="eastAsia" w:ascii="宋体" w:hAnsi="宋体" w:eastAsia="宋体" w:cs="宋体"/>
                <w:b/>
                <w:i w:val="0"/>
                <w:caps w:val="0"/>
                <w:color w:val="000000"/>
                <w:spacing w:val="0"/>
                <w:kern w:val="0"/>
                <w:sz w:val="19"/>
                <w:szCs w:val="19"/>
                <w:lang w:val="en-US" w:eastAsia="zh-CN" w:bidi="ar"/>
              </w:rPr>
              <w:t>第二条</w:t>
            </w:r>
            <w:r>
              <w:rPr>
                <w:rFonts w:hint="eastAsia" w:ascii="宋体" w:hAnsi="宋体" w:eastAsia="宋体" w:cs="宋体"/>
                <w:b w:val="0"/>
                <w:i w:val="0"/>
                <w:caps w:val="0"/>
                <w:color w:val="000000"/>
                <w:spacing w:val="0"/>
                <w:kern w:val="0"/>
                <w:sz w:val="19"/>
                <w:szCs w:val="19"/>
                <w:lang w:val="en-US" w:eastAsia="zh-CN" w:bidi="ar"/>
              </w:rPr>
              <w:t> 中华人民共和国境内的电信业务经营者和互联网域名服务提供者（以下统称“通信网络运行单位”）管理和运行的公用通信网和互联网（以下统称“通信网络”）的网络安全防护工作，适用本办法。</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本办法所称互联网域名服务，是指设置域名数据库或者域名解析服务器，为域名持有者提供域名注册或者权威解析服务的行为。</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本办法所称网络安全防护工作，是指为防止通信网络阻塞、中断、瘫痪或者被非法控制，以及为防止通信网络中传输、存储、处理的数据信息丢失、泄露或者被篡改而开展的工作。</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w:t>
            </w:r>
            <w:r>
              <w:rPr>
                <w:rFonts w:hint="eastAsia" w:ascii="宋体" w:hAnsi="宋体" w:eastAsia="宋体" w:cs="宋体"/>
                <w:b/>
                <w:i w:val="0"/>
                <w:caps w:val="0"/>
                <w:color w:val="000000"/>
                <w:spacing w:val="0"/>
                <w:kern w:val="0"/>
                <w:sz w:val="19"/>
                <w:szCs w:val="19"/>
                <w:lang w:val="en-US" w:eastAsia="zh-CN" w:bidi="ar"/>
              </w:rPr>
              <w:t>第三条</w:t>
            </w:r>
            <w:r>
              <w:rPr>
                <w:rFonts w:hint="eastAsia" w:ascii="宋体" w:hAnsi="宋体" w:eastAsia="宋体" w:cs="宋体"/>
                <w:b w:val="0"/>
                <w:i w:val="0"/>
                <w:caps w:val="0"/>
                <w:color w:val="000000"/>
                <w:spacing w:val="0"/>
                <w:kern w:val="0"/>
                <w:sz w:val="19"/>
                <w:szCs w:val="19"/>
                <w:lang w:val="en-US" w:eastAsia="zh-CN" w:bidi="ar"/>
              </w:rPr>
              <w:t> 通信网络安全防护工作坚持积极防御、综合防范、分级保护的原则。</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w:t>
            </w:r>
            <w:r>
              <w:rPr>
                <w:rFonts w:hint="eastAsia" w:ascii="宋体" w:hAnsi="宋体" w:eastAsia="宋体" w:cs="宋体"/>
                <w:b/>
                <w:i w:val="0"/>
                <w:caps w:val="0"/>
                <w:color w:val="000000"/>
                <w:spacing w:val="0"/>
                <w:kern w:val="0"/>
                <w:sz w:val="19"/>
                <w:szCs w:val="19"/>
                <w:lang w:val="en-US" w:eastAsia="zh-CN" w:bidi="ar"/>
              </w:rPr>
              <w:t>第四条</w:t>
            </w:r>
            <w:r>
              <w:rPr>
                <w:rFonts w:hint="eastAsia" w:ascii="宋体" w:hAnsi="宋体" w:eastAsia="宋体" w:cs="宋体"/>
                <w:b w:val="0"/>
                <w:i w:val="0"/>
                <w:caps w:val="0"/>
                <w:color w:val="000000"/>
                <w:spacing w:val="0"/>
                <w:kern w:val="0"/>
                <w:sz w:val="19"/>
                <w:szCs w:val="19"/>
                <w:lang w:val="en-US" w:eastAsia="zh-CN" w:bidi="ar"/>
              </w:rPr>
              <w:t> 中华人民共和国工业和信息化部（以下简称工业和信息化部）负责全国通信网络安全防护工作的统一指导、协调和检查，组织建立健全通信网络安全防护体系，制定通信行业相关标准。</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各省、自治区、直辖市通信管理局（以下简称通信管理局）依据本办法的规定，对本行政区域内的通信网络安全防护工作进行指导、协调和检查。</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工业和信息化部与通信管理局统称“电信管理机构”。</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w:t>
            </w:r>
            <w:r>
              <w:rPr>
                <w:rFonts w:hint="eastAsia" w:ascii="宋体" w:hAnsi="宋体" w:eastAsia="宋体" w:cs="宋体"/>
                <w:b/>
                <w:i w:val="0"/>
                <w:caps w:val="0"/>
                <w:color w:val="000000"/>
                <w:spacing w:val="0"/>
                <w:kern w:val="0"/>
                <w:sz w:val="19"/>
                <w:szCs w:val="19"/>
                <w:lang w:val="en-US" w:eastAsia="zh-CN" w:bidi="ar"/>
              </w:rPr>
              <w:t>第五条</w:t>
            </w:r>
            <w:r>
              <w:rPr>
                <w:rFonts w:hint="eastAsia" w:ascii="宋体" w:hAnsi="宋体" w:eastAsia="宋体" w:cs="宋体"/>
                <w:b w:val="0"/>
                <w:i w:val="0"/>
                <w:caps w:val="0"/>
                <w:color w:val="000000"/>
                <w:spacing w:val="0"/>
                <w:kern w:val="0"/>
                <w:sz w:val="19"/>
                <w:szCs w:val="19"/>
                <w:lang w:val="en-US" w:eastAsia="zh-CN" w:bidi="ar"/>
              </w:rPr>
              <w:t> 通信网络运行单位应当按照电信管理机构的规定和通信行业标准开展通信网络安全防护工作，对本单位通信网络安全负责。</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w:t>
            </w:r>
            <w:r>
              <w:rPr>
                <w:rFonts w:hint="eastAsia" w:ascii="宋体" w:hAnsi="宋体" w:eastAsia="宋体" w:cs="宋体"/>
                <w:b/>
                <w:i w:val="0"/>
                <w:caps w:val="0"/>
                <w:color w:val="000000"/>
                <w:spacing w:val="0"/>
                <w:kern w:val="0"/>
                <w:sz w:val="19"/>
                <w:szCs w:val="19"/>
                <w:lang w:val="en-US" w:eastAsia="zh-CN" w:bidi="ar"/>
              </w:rPr>
              <w:t>第六条</w:t>
            </w:r>
            <w:r>
              <w:rPr>
                <w:rFonts w:hint="eastAsia" w:ascii="宋体" w:hAnsi="宋体" w:eastAsia="宋体" w:cs="宋体"/>
                <w:b w:val="0"/>
                <w:i w:val="0"/>
                <w:caps w:val="0"/>
                <w:color w:val="000000"/>
                <w:spacing w:val="0"/>
                <w:kern w:val="0"/>
                <w:sz w:val="19"/>
                <w:szCs w:val="19"/>
                <w:lang w:val="en-US" w:eastAsia="zh-CN" w:bidi="ar"/>
              </w:rPr>
              <w:t> 通信网络运行单位新建、改建、扩建通信网络工程项目，应当同步建设通信网络安全保障设施，并与主体工程同时进行验收和投入运行。</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通信网络安全保障设施的新建、改建、扩建费用，应当纳入本单位建设项目概算。</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w:t>
            </w:r>
            <w:r>
              <w:rPr>
                <w:rFonts w:hint="eastAsia" w:ascii="宋体" w:hAnsi="宋体" w:eastAsia="宋体" w:cs="宋体"/>
                <w:b/>
                <w:i w:val="0"/>
                <w:caps w:val="0"/>
                <w:color w:val="000000"/>
                <w:spacing w:val="0"/>
                <w:kern w:val="0"/>
                <w:sz w:val="19"/>
                <w:szCs w:val="19"/>
                <w:lang w:val="en-US" w:eastAsia="zh-CN" w:bidi="ar"/>
              </w:rPr>
              <w:t>第七条</w:t>
            </w:r>
            <w:r>
              <w:rPr>
                <w:rFonts w:hint="eastAsia" w:ascii="宋体" w:hAnsi="宋体" w:eastAsia="宋体" w:cs="宋体"/>
                <w:b w:val="0"/>
                <w:i w:val="0"/>
                <w:caps w:val="0"/>
                <w:color w:val="000000"/>
                <w:spacing w:val="0"/>
                <w:kern w:val="0"/>
                <w:sz w:val="19"/>
                <w:szCs w:val="19"/>
                <w:lang w:val="en-US" w:eastAsia="zh-CN" w:bidi="ar"/>
              </w:rPr>
              <w:t> 通信网络运行单位应当对本单位已正式投入运行的通信网络进行单元划分，并按照各通信网络单元遭到破坏后可能对国家安全、经济运行、社会秩序、公众利益的危害程度，由低到高分别划分为一级、二级、三级、四级、五级。</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电信管理机构应当组织专家对通信网络单元的分级情况进行评审。</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通信网络运行单位应当根据实际情况适时调整通信网络单元的划分和级别，并按照前款规定进行评审。</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w:t>
            </w:r>
            <w:r>
              <w:rPr>
                <w:rFonts w:hint="eastAsia" w:ascii="宋体" w:hAnsi="宋体" w:eastAsia="宋体" w:cs="宋体"/>
                <w:b/>
                <w:i w:val="0"/>
                <w:caps w:val="0"/>
                <w:color w:val="000000"/>
                <w:spacing w:val="0"/>
                <w:kern w:val="0"/>
                <w:sz w:val="19"/>
                <w:szCs w:val="19"/>
                <w:lang w:val="en-US" w:eastAsia="zh-CN" w:bidi="ar"/>
              </w:rPr>
              <w:t>第八条</w:t>
            </w:r>
            <w:r>
              <w:rPr>
                <w:rFonts w:hint="eastAsia" w:ascii="宋体" w:hAnsi="宋体" w:eastAsia="宋体" w:cs="宋体"/>
                <w:b w:val="0"/>
                <w:i w:val="0"/>
                <w:caps w:val="0"/>
                <w:color w:val="000000"/>
                <w:spacing w:val="0"/>
                <w:kern w:val="0"/>
                <w:sz w:val="19"/>
                <w:szCs w:val="19"/>
                <w:lang w:val="en-US" w:eastAsia="zh-CN" w:bidi="ar"/>
              </w:rPr>
              <w:t> 通信网络运行单位应当在通信网络定级评审通过后三十日内，将通信网络单元的划分和定级情况按照以下规定向电信管理机构备案：</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一）基础电信业务经营者集团公司向工业和信息化部申请办理其直接管理的通信网络单元的备案；基础电信业务经营者各省（自治区、直辖市）子公司、分公司向当地通信管理局申请办理其负责管理的通信网络单元的备案；</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（二）增值电信业务经营者向作出电信业务经营许可决定的电信管理机构备案；</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（三）互联网域名服务提供者向工业和信息化部备案。</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w:t>
            </w:r>
            <w:r>
              <w:rPr>
                <w:rFonts w:hint="eastAsia" w:ascii="宋体" w:hAnsi="宋体" w:eastAsia="宋体" w:cs="宋体"/>
                <w:b/>
                <w:i w:val="0"/>
                <w:caps w:val="0"/>
                <w:color w:val="000000"/>
                <w:spacing w:val="0"/>
                <w:kern w:val="0"/>
                <w:sz w:val="19"/>
                <w:szCs w:val="19"/>
                <w:lang w:val="en-US" w:eastAsia="zh-CN" w:bidi="ar"/>
              </w:rPr>
              <w:t>第九条</w:t>
            </w:r>
            <w:r>
              <w:rPr>
                <w:rFonts w:hint="eastAsia" w:ascii="宋体" w:hAnsi="宋体" w:eastAsia="宋体" w:cs="宋体"/>
                <w:b w:val="0"/>
                <w:i w:val="0"/>
                <w:caps w:val="0"/>
                <w:color w:val="000000"/>
                <w:spacing w:val="0"/>
                <w:kern w:val="0"/>
                <w:sz w:val="19"/>
                <w:szCs w:val="19"/>
                <w:lang w:val="en-US" w:eastAsia="zh-CN" w:bidi="ar"/>
              </w:rPr>
              <w:t> 通信网络运行单位办理通信网络单元备案，应当提交以下信息：</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（一）通信网络单元的名称、级别和主要功能；</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（二）通信网络单元责任单位的名称和联系方式；</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（三）通信网络单元主要负责人的姓名和联系方式；</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（四）通信网络单元的拓扑架构、网络边界、主要软硬件及型号和关键设施位置；</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（五）电信管理机构要求提交的涉及通信网络安全的其他信息。</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前款规定的备案信息发生变化的，通信网络运行单位应当自信息变化之日起三十日内向电信管理机构变更备案。</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通信网络运行单位报备的信息应当真实、完整。</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w:t>
            </w:r>
            <w:r>
              <w:rPr>
                <w:rFonts w:hint="eastAsia" w:ascii="宋体" w:hAnsi="宋体" w:eastAsia="宋体" w:cs="宋体"/>
                <w:b/>
                <w:i w:val="0"/>
                <w:caps w:val="0"/>
                <w:color w:val="000000"/>
                <w:spacing w:val="0"/>
                <w:kern w:val="0"/>
                <w:sz w:val="19"/>
                <w:szCs w:val="19"/>
                <w:lang w:val="en-US" w:eastAsia="zh-CN" w:bidi="ar"/>
              </w:rPr>
              <w:t>第十条</w:t>
            </w:r>
            <w:r>
              <w:rPr>
                <w:rFonts w:hint="eastAsia" w:ascii="宋体" w:hAnsi="宋体" w:eastAsia="宋体" w:cs="宋体"/>
                <w:b w:val="0"/>
                <w:i w:val="0"/>
                <w:caps w:val="0"/>
                <w:color w:val="000000"/>
                <w:spacing w:val="0"/>
                <w:kern w:val="0"/>
                <w:sz w:val="19"/>
                <w:szCs w:val="19"/>
                <w:lang w:val="en-US" w:eastAsia="zh-CN" w:bidi="ar"/>
              </w:rPr>
              <w:t> 电信管理机构应当对备案信息的真实性、完整性进行核查，发现备案信息不真实、不完整的，通知备案单位予以补正。</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w:t>
            </w:r>
            <w:r>
              <w:rPr>
                <w:rFonts w:hint="eastAsia" w:ascii="宋体" w:hAnsi="宋体" w:eastAsia="宋体" w:cs="宋体"/>
                <w:b/>
                <w:i w:val="0"/>
                <w:caps w:val="0"/>
                <w:color w:val="000000"/>
                <w:spacing w:val="0"/>
                <w:kern w:val="0"/>
                <w:sz w:val="19"/>
                <w:szCs w:val="19"/>
                <w:lang w:val="en-US" w:eastAsia="zh-CN" w:bidi="ar"/>
              </w:rPr>
              <w:t>第十一条</w:t>
            </w:r>
            <w:r>
              <w:rPr>
                <w:rFonts w:hint="eastAsia" w:ascii="宋体" w:hAnsi="宋体" w:eastAsia="宋体" w:cs="宋体"/>
                <w:b w:val="0"/>
                <w:i w:val="0"/>
                <w:caps w:val="0"/>
                <w:color w:val="000000"/>
                <w:spacing w:val="0"/>
                <w:kern w:val="0"/>
                <w:sz w:val="19"/>
                <w:szCs w:val="19"/>
                <w:lang w:val="en-US" w:eastAsia="zh-CN" w:bidi="ar"/>
              </w:rPr>
              <w:t> 通信网络运行单位应当落实与通信网络单元级别相适应的安全防护措施，并按照以下规定进行符合性评测：</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（一）三级及三级以上通信网络单元应当每年进行一次符合性评测；</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（二）二级通信网络单元应当每两年进行一次符合性评测。</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通信网络单元的划分和级别调整的，应当自调整完成之日起九十日内重新进行符合性评测。</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通信网络运行单位应当在评测结束后三十日内，将通信网络单元的符合性评测结果、整改情况或者整改计划报送通信网络单元的备案机构。</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w:t>
            </w:r>
            <w:r>
              <w:rPr>
                <w:rFonts w:hint="eastAsia" w:ascii="宋体" w:hAnsi="宋体" w:eastAsia="宋体" w:cs="宋体"/>
                <w:b/>
                <w:i w:val="0"/>
                <w:caps w:val="0"/>
                <w:color w:val="000000"/>
                <w:spacing w:val="0"/>
                <w:kern w:val="0"/>
                <w:sz w:val="19"/>
                <w:szCs w:val="19"/>
                <w:lang w:val="en-US" w:eastAsia="zh-CN" w:bidi="ar"/>
              </w:rPr>
              <w:t>第十二条</w:t>
            </w:r>
            <w:r>
              <w:rPr>
                <w:rFonts w:hint="eastAsia" w:ascii="宋体" w:hAnsi="宋体" w:eastAsia="宋体" w:cs="宋体"/>
                <w:b w:val="0"/>
                <w:i w:val="0"/>
                <w:caps w:val="0"/>
                <w:color w:val="000000"/>
                <w:spacing w:val="0"/>
                <w:kern w:val="0"/>
                <w:sz w:val="19"/>
                <w:szCs w:val="19"/>
                <w:lang w:val="en-US" w:eastAsia="zh-CN" w:bidi="ar"/>
              </w:rPr>
              <w:t> 通信网络运行单位应当按照以下规定组织对通信网络单元进行安全风险评估，及时消除重大网络安全隐患：</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（一）三级及三级以上通信网络单元应当每年进行一次安全风险评估；</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（二）二级通信网络单元应当每两年进行一次安全风险评估。</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国家重大活动举办前，通信网络单元应当按照电信管理机构的要求进行安全风险评估。</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通信网络运行单位应当在安全风险评估结束后三十日内，将安全风险评估结果、隐患处理情况或者处理计划报送通信网络单元的备案机构。</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w:t>
            </w:r>
            <w:r>
              <w:rPr>
                <w:rFonts w:hint="eastAsia" w:ascii="宋体" w:hAnsi="宋体" w:eastAsia="宋体" w:cs="宋体"/>
                <w:b/>
                <w:i w:val="0"/>
                <w:caps w:val="0"/>
                <w:color w:val="000000"/>
                <w:spacing w:val="0"/>
                <w:kern w:val="0"/>
                <w:sz w:val="19"/>
                <w:szCs w:val="19"/>
                <w:lang w:val="en-US" w:eastAsia="zh-CN" w:bidi="ar"/>
              </w:rPr>
              <w:t>第十三条</w:t>
            </w:r>
            <w:r>
              <w:rPr>
                <w:rFonts w:hint="eastAsia" w:ascii="宋体" w:hAnsi="宋体" w:eastAsia="宋体" w:cs="宋体"/>
                <w:b w:val="0"/>
                <w:i w:val="0"/>
                <w:caps w:val="0"/>
                <w:color w:val="000000"/>
                <w:spacing w:val="0"/>
                <w:kern w:val="0"/>
                <w:sz w:val="19"/>
                <w:szCs w:val="19"/>
                <w:lang w:val="en-US" w:eastAsia="zh-CN" w:bidi="ar"/>
              </w:rPr>
              <w:t> 通信网络运行单位应当对通信网络单元的重要线路、设备、系统和数据等进行备份。</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w:t>
            </w:r>
            <w:r>
              <w:rPr>
                <w:rFonts w:hint="eastAsia" w:ascii="宋体" w:hAnsi="宋体" w:eastAsia="宋体" w:cs="宋体"/>
                <w:b/>
                <w:i w:val="0"/>
                <w:caps w:val="0"/>
                <w:color w:val="000000"/>
                <w:spacing w:val="0"/>
                <w:kern w:val="0"/>
                <w:sz w:val="19"/>
                <w:szCs w:val="19"/>
                <w:lang w:val="en-US" w:eastAsia="zh-CN" w:bidi="ar"/>
              </w:rPr>
              <w:t>第十四条</w:t>
            </w:r>
            <w:r>
              <w:rPr>
                <w:rFonts w:hint="eastAsia" w:ascii="宋体" w:hAnsi="宋体" w:eastAsia="宋体" w:cs="宋体"/>
                <w:b w:val="0"/>
                <w:i w:val="0"/>
                <w:caps w:val="0"/>
                <w:color w:val="000000"/>
                <w:spacing w:val="0"/>
                <w:kern w:val="0"/>
                <w:sz w:val="19"/>
                <w:szCs w:val="19"/>
                <w:lang w:val="en-US" w:eastAsia="zh-CN" w:bidi="ar"/>
              </w:rPr>
              <w:t> 通信网络运行单位应当组织演练，检验通信网络安全防护措施的有效性。</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通信网络运行单位应当参加电信管理机构组织开展的演练。</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w:t>
            </w:r>
            <w:r>
              <w:rPr>
                <w:rFonts w:hint="eastAsia" w:ascii="宋体" w:hAnsi="宋体" w:eastAsia="宋体" w:cs="宋体"/>
                <w:b/>
                <w:i w:val="0"/>
                <w:caps w:val="0"/>
                <w:color w:val="000000"/>
                <w:spacing w:val="0"/>
                <w:kern w:val="0"/>
                <w:sz w:val="19"/>
                <w:szCs w:val="19"/>
                <w:lang w:val="en-US" w:eastAsia="zh-CN" w:bidi="ar"/>
              </w:rPr>
              <w:t>第十五条</w:t>
            </w:r>
            <w:r>
              <w:rPr>
                <w:rFonts w:hint="eastAsia" w:ascii="宋体" w:hAnsi="宋体" w:eastAsia="宋体" w:cs="宋体"/>
                <w:b w:val="0"/>
                <w:i w:val="0"/>
                <w:caps w:val="0"/>
                <w:color w:val="000000"/>
                <w:spacing w:val="0"/>
                <w:kern w:val="0"/>
                <w:sz w:val="19"/>
                <w:szCs w:val="19"/>
                <w:lang w:val="en-US" w:eastAsia="zh-CN" w:bidi="ar"/>
              </w:rPr>
              <w:t> 通信网络运行单位应当建设和运行通信网络安全监测系统，对本单位通信网络的安全状况进行监测。</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w:t>
            </w:r>
            <w:r>
              <w:rPr>
                <w:rFonts w:hint="eastAsia" w:ascii="宋体" w:hAnsi="宋体" w:eastAsia="宋体" w:cs="宋体"/>
                <w:b/>
                <w:i w:val="0"/>
                <w:caps w:val="0"/>
                <w:color w:val="000000"/>
                <w:spacing w:val="0"/>
                <w:kern w:val="0"/>
                <w:sz w:val="19"/>
                <w:szCs w:val="19"/>
                <w:lang w:val="en-US" w:eastAsia="zh-CN" w:bidi="ar"/>
              </w:rPr>
              <w:t>第十六条</w:t>
            </w:r>
            <w:r>
              <w:rPr>
                <w:rFonts w:hint="eastAsia" w:ascii="宋体" w:hAnsi="宋体" w:eastAsia="宋体" w:cs="宋体"/>
                <w:b w:val="0"/>
                <w:i w:val="0"/>
                <w:caps w:val="0"/>
                <w:color w:val="000000"/>
                <w:spacing w:val="0"/>
                <w:kern w:val="0"/>
                <w:sz w:val="19"/>
                <w:szCs w:val="19"/>
                <w:lang w:val="en-US" w:eastAsia="zh-CN" w:bidi="ar"/>
              </w:rPr>
              <w:t> 通信网络运行单位可以委托专业机构开展通信网络安全评测、评估、监测等工作。</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工业和信息化部应当根据通信网络安全防护工作的需要，加强对前款规定的受托机构的安全评测、评估、监测能力指导。</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w:t>
            </w:r>
            <w:r>
              <w:rPr>
                <w:rFonts w:hint="eastAsia" w:ascii="宋体" w:hAnsi="宋体" w:eastAsia="宋体" w:cs="宋体"/>
                <w:b/>
                <w:i w:val="0"/>
                <w:caps w:val="0"/>
                <w:color w:val="000000"/>
                <w:spacing w:val="0"/>
                <w:kern w:val="0"/>
                <w:sz w:val="19"/>
                <w:szCs w:val="19"/>
                <w:lang w:val="en-US" w:eastAsia="zh-CN" w:bidi="ar"/>
              </w:rPr>
              <w:t>第十七条</w:t>
            </w:r>
            <w:r>
              <w:rPr>
                <w:rFonts w:hint="eastAsia" w:ascii="宋体" w:hAnsi="宋体" w:eastAsia="宋体" w:cs="宋体"/>
                <w:b w:val="0"/>
                <w:i w:val="0"/>
                <w:caps w:val="0"/>
                <w:color w:val="000000"/>
                <w:spacing w:val="0"/>
                <w:kern w:val="0"/>
                <w:sz w:val="19"/>
                <w:szCs w:val="19"/>
                <w:lang w:val="en-US" w:eastAsia="zh-CN" w:bidi="ar"/>
              </w:rPr>
              <w:t> 电信管理机构应当对通信网络运行单位开展通信网络安全防护工作的情况进行检查。</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电信管理机构可以采取以下检查措施：</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（一）查阅通信网络运行单位的符合性评测报告和风险评估报告；</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（二）查阅通信网络运行单位有关网络安全防护的文档和工作记录；</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（三）向通信网络运行单位工作人员询问了解有关情况；</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（四）查验通信网络运行单位的有关设施；</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（五）对通信网络进行技术性分析和测试；</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（六）法律、行政法规规定的其他检查措施。</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w:t>
            </w:r>
            <w:r>
              <w:rPr>
                <w:rFonts w:hint="eastAsia" w:ascii="宋体" w:hAnsi="宋体" w:eastAsia="宋体" w:cs="宋体"/>
                <w:b/>
                <w:i w:val="0"/>
                <w:caps w:val="0"/>
                <w:color w:val="000000"/>
                <w:spacing w:val="0"/>
                <w:kern w:val="0"/>
                <w:sz w:val="19"/>
                <w:szCs w:val="19"/>
                <w:lang w:val="en-US" w:eastAsia="zh-CN" w:bidi="ar"/>
              </w:rPr>
              <w:t>第十八条</w:t>
            </w:r>
            <w:r>
              <w:rPr>
                <w:rFonts w:hint="eastAsia" w:ascii="宋体" w:hAnsi="宋体" w:eastAsia="宋体" w:cs="宋体"/>
                <w:b w:val="0"/>
                <w:i w:val="0"/>
                <w:caps w:val="0"/>
                <w:color w:val="000000"/>
                <w:spacing w:val="0"/>
                <w:kern w:val="0"/>
                <w:sz w:val="19"/>
                <w:szCs w:val="19"/>
                <w:lang w:val="en-US" w:eastAsia="zh-CN" w:bidi="ar"/>
              </w:rPr>
              <w:t> 电信管理机构可以委托专业机构开展通信网络安全检查活动。</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w:t>
            </w:r>
            <w:r>
              <w:rPr>
                <w:rFonts w:hint="eastAsia" w:ascii="宋体" w:hAnsi="宋体" w:eastAsia="宋体" w:cs="宋体"/>
                <w:b/>
                <w:i w:val="0"/>
                <w:caps w:val="0"/>
                <w:color w:val="000000"/>
                <w:spacing w:val="0"/>
                <w:kern w:val="0"/>
                <w:sz w:val="19"/>
                <w:szCs w:val="19"/>
                <w:lang w:val="en-US" w:eastAsia="zh-CN" w:bidi="ar"/>
              </w:rPr>
              <w:t>第十九条</w:t>
            </w:r>
            <w:r>
              <w:rPr>
                <w:rFonts w:hint="eastAsia" w:ascii="宋体" w:hAnsi="宋体" w:eastAsia="宋体" w:cs="宋体"/>
                <w:b w:val="0"/>
                <w:i w:val="0"/>
                <w:caps w:val="0"/>
                <w:color w:val="000000"/>
                <w:spacing w:val="0"/>
                <w:kern w:val="0"/>
                <w:sz w:val="19"/>
                <w:szCs w:val="19"/>
                <w:lang w:val="en-US" w:eastAsia="zh-CN" w:bidi="ar"/>
              </w:rPr>
              <w:t> 通信网络运行单位应当配合电信管理机构及其委托的专业机构开展检查活动，对于检查中发现的重大网络安全隐患，应当及时整改。</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w:t>
            </w:r>
            <w:r>
              <w:rPr>
                <w:rFonts w:hint="eastAsia" w:ascii="宋体" w:hAnsi="宋体" w:eastAsia="宋体" w:cs="宋体"/>
                <w:b/>
                <w:i w:val="0"/>
                <w:caps w:val="0"/>
                <w:color w:val="000000"/>
                <w:spacing w:val="0"/>
                <w:kern w:val="0"/>
                <w:sz w:val="19"/>
                <w:szCs w:val="19"/>
                <w:lang w:val="en-US" w:eastAsia="zh-CN" w:bidi="ar"/>
              </w:rPr>
              <w:t>第二十条</w:t>
            </w:r>
            <w:r>
              <w:rPr>
                <w:rFonts w:hint="eastAsia" w:ascii="宋体" w:hAnsi="宋体" w:eastAsia="宋体" w:cs="宋体"/>
                <w:b w:val="0"/>
                <w:i w:val="0"/>
                <w:caps w:val="0"/>
                <w:color w:val="000000"/>
                <w:spacing w:val="0"/>
                <w:kern w:val="0"/>
                <w:sz w:val="19"/>
                <w:szCs w:val="19"/>
                <w:lang w:val="en-US" w:eastAsia="zh-CN" w:bidi="ar"/>
              </w:rPr>
              <w:t> 电信管理机构对通信网络安全防护工作进行检查，不得影响通信网络的正常运行，不得收取任何费用，不得要求接受检查的单位购买指定品牌或者指定单位的安全软件、设备或者其他产品。</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w:t>
            </w:r>
            <w:r>
              <w:rPr>
                <w:rFonts w:hint="eastAsia" w:ascii="宋体" w:hAnsi="宋体" w:eastAsia="宋体" w:cs="宋体"/>
                <w:b/>
                <w:i w:val="0"/>
                <w:caps w:val="0"/>
                <w:color w:val="000000"/>
                <w:spacing w:val="0"/>
                <w:kern w:val="0"/>
                <w:sz w:val="19"/>
                <w:szCs w:val="19"/>
                <w:lang w:val="en-US" w:eastAsia="zh-CN" w:bidi="ar"/>
              </w:rPr>
              <w:t>第二十一条</w:t>
            </w:r>
            <w:r>
              <w:rPr>
                <w:rFonts w:hint="eastAsia" w:ascii="宋体" w:hAnsi="宋体" w:eastAsia="宋体" w:cs="宋体"/>
                <w:b w:val="0"/>
                <w:i w:val="0"/>
                <w:caps w:val="0"/>
                <w:color w:val="000000"/>
                <w:spacing w:val="0"/>
                <w:kern w:val="0"/>
                <w:sz w:val="19"/>
                <w:szCs w:val="19"/>
                <w:lang w:val="en-US" w:eastAsia="zh-CN" w:bidi="ar"/>
              </w:rPr>
              <w:t> 电信管理机构及其委托的专业机构的工作人员对于检查工作中获悉的国家秘密、商业秘密和个人隐私，有保密的义务。</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w:t>
            </w:r>
            <w:r>
              <w:rPr>
                <w:rFonts w:hint="eastAsia" w:ascii="宋体" w:hAnsi="宋体" w:eastAsia="宋体" w:cs="宋体"/>
                <w:b/>
                <w:i w:val="0"/>
                <w:caps w:val="0"/>
                <w:color w:val="000000"/>
                <w:spacing w:val="0"/>
                <w:kern w:val="0"/>
                <w:sz w:val="19"/>
                <w:szCs w:val="19"/>
                <w:lang w:val="en-US" w:eastAsia="zh-CN" w:bidi="ar"/>
              </w:rPr>
              <w:t>第二十二条</w:t>
            </w:r>
            <w:r>
              <w:rPr>
                <w:rFonts w:hint="eastAsia" w:ascii="宋体" w:hAnsi="宋体" w:eastAsia="宋体" w:cs="宋体"/>
                <w:b w:val="0"/>
                <w:i w:val="0"/>
                <w:caps w:val="0"/>
                <w:color w:val="000000"/>
                <w:spacing w:val="0"/>
                <w:kern w:val="0"/>
                <w:sz w:val="19"/>
                <w:szCs w:val="19"/>
                <w:lang w:val="en-US" w:eastAsia="zh-CN" w:bidi="ar"/>
              </w:rPr>
              <w:t> 违反本办法第六条第一款、第七条第一款和第三款、第八条、第九条、第十一条、第十二条、第十三条、第十四条、第十五条、第十九条规定的，由电信管理机构依据职权责令改正；拒不改正的，给予警告，并处五千元以上三万元以下的罚款。</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w:t>
            </w:r>
            <w:r>
              <w:rPr>
                <w:rFonts w:hint="eastAsia" w:ascii="宋体" w:hAnsi="宋体" w:eastAsia="宋体" w:cs="宋体"/>
                <w:b/>
                <w:i w:val="0"/>
                <w:caps w:val="0"/>
                <w:color w:val="000000"/>
                <w:spacing w:val="0"/>
                <w:kern w:val="0"/>
                <w:sz w:val="19"/>
                <w:szCs w:val="19"/>
                <w:lang w:val="en-US" w:eastAsia="zh-CN" w:bidi="ar"/>
              </w:rPr>
              <w:t>第二十三条</w:t>
            </w:r>
            <w:r>
              <w:rPr>
                <w:rFonts w:hint="eastAsia" w:ascii="宋体" w:hAnsi="宋体" w:eastAsia="宋体" w:cs="宋体"/>
                <w:b w:val="0"/>
                <w:i w:val="0"/>
                <w:caps w:val="0"/>
                <w:color w:val="000000"/>
                <w:spacing w:val="0"/>
                <w:kern w:val="0"/>
                <w:sz w:val="19"/>
                <w:szCs w:val="19"/>
                <w:lang w:val="en-US" w:eastAsia="zh-CN" w:bidi="ar"/>
              </w:rPr>
              <w:t> 电信管理机构的工作人员违反本办法第二十条、第二十一条规定的，依法给予行政处分；构成犯罪的，依法追究刑事责任。</w:t>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br w:type="textWrapping"/>
            </w:r>
            <w:r>
              <w:rPr>
                <w:rFonts w:hint="eastAsia" w:ascii="宋体" w:hAnsi="宋体" w:eastAsia="宋体" w:cs="宋体"/>
                <w:b w:val="0"/>
                <w:i w:val="0"/>
                <w:caps w:val="0"/>
                <w:color w:val="000000"/>
                <w:spacing w:val="0"/>
                <w:kern w:val="0"/>
                <w:sz w:val="19"/>
                <w:szCs w:val="19"/>
                <w:lang w:val="en-US" w:eastAsia="zh-CN" w:bidi="ar"/>
              </w:rPr>
              <w:t>　　 </w:t>
            </w:r>
            <w:r>
              <w:rPr>
                <w:rFonts w:hint="eastAsia" w:ascii="宋体" w:hAnsi="宋体" w:eastAsia="宋体" w:cs="宋体"/>
                <w:b/>
                <w:i w:val="0"/>
                <w:caps w:val="0"/>
                <w:color w:val="000000"/>
                <w:spacing w:val="0"/>
                <w:kern w:val="0"/>
                <w:sz w:val="19"/>
                <w:szCs w:val="19"/>
                <w:lang w:val="en-US" w:eastAsia="zh-CN" w:bidi="ar"/>
              </w:rPr>
              <w:t>第二十四条</w:t>
            </w:r>
            <w:r>
              <w:rPr>
                <w:rFonts w:hint="eastAsia" w:ascii="宋体" w:hAnsi="宋体" w:eastAsia="宋体" w:cs="宋体"/>
                <w:b w:val="0"/>
                <w:i w:val="0"/>
                <w:caps w:val="0"/>
                <w:color w:val="000000"/>
                <w:spacing w:val="0"/>
                <w:kern w:val="0"/>
                <w:sz w:val="19"/>
                <w:szCs w:val="19"/>
                <w:lang w:val="en-US" w:eastAsia="zh-CN" w:bidi="ar"/>
              </w:rPr>
              <w:t> 本办法自2010年3月1日起施行。</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C66D7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2016-01-14T03:09:23Z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